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>泰隆金融学院2</w:t>
      </w:r>
      <w:r>
        <w:rPr>
          <w:rFonts w:ascii="Arial" w:hAnsi="Arial" w:eastAsia="仿宋" w:cs="Arial"/>
          <w:sz w:val="32"/>
          <w:szCs w:val="32"/>
        </w:rPr>
        <w:t>021</w:t>
      </w:r>
      <w:r>
        <w:rPr>
          <w:rFonts w:hint="eastAsia" w:ascii="Arial" w:hAnsi="Arial" w:eastAsia="仿宋" w:cs="Arial"/>
          <w:sz w:val="32"/>
          <w:szCs w:val="32"/>
        </w:rPr>
        <w:t>年度课题</w:t>
      </w:r>
      <w:bookmarkStart w:id="0" w:name="_GoBack"/>
      <w:bookmarkEnd w:id="0"/>
      <w:r>
        <w:rPr>
          <w:rFonts w:hint="eastAsia" w:ascii="Arial" w:hAnsi="Arial" w:eastAsia="仿宋" w:cs="Arial"/>
          <w:sz w:val="32"/>
          <w:szCs w:val="32"/>
        </w:rPr>
        <w:t>选题领域</w:t>
      </w:r>
    </w:p>
    <w:p>
      <w:pPr>
        <w:spacing w:line="360" w:lineRule="auto"/>
        <w:rPr>
          <w:rFonts w:ascii="Arial" w:hAnsi="Arial" w:eastAsia="仿宋" w:cs="Arial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ascii="Arial" w:hAnsi="Arial" w:eastAsia="仿宋" w:cs="Arial"/>
          <w:sz w:val="28"/>
          <w:szCs w:val="32"/>
        </w:rPr>
        <w:t>普惠金融工具创新（例如，道义担保）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ascii="Arial" w:hAnsi="Arial" w:eastAsia="仿宋" w:cs="Arial"/>
          <w:sz w:val="28"/>
          <w:szCs w:val="32"/>
        </w:rPr>
        <w:t>小微信贷中软信息的测度、利用以及利用效率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ascii="Arial" w:hAnsi="Arial" w:eastAsia="仿宋" w:cs="Arial"/>
          <w:sz w:val="28"/>
          <w:szCs w:val="32"/>
        </w:rPr>
        <w:t>普惠金融</w:t>
      </w:r>
      <w:r>
        <w:rPr>
          <w:rFonts w:hint="eastAsia" w:ascii="Arial" w:hAnsi="Arial" w:eastAsia="仿宋" w:cs="Arial"/>
          <w:sz w:val="28"/>
          <w:szCs w:val="32"/>
        </w:rPr>
        <w:t>（如无还本续贷等）</w:t>
      </w:r>
      <w:r>
        <w:rPr>
          <w:rFonts w:ascii="Arial" w:hAnsi="Arial" w:eastAsia="仿宋" w:cs="Arial"/>
          <w:sz w:val="28"/>
          <w:szCs w:val="32"/>
        </w:rPr>
        <w:t>相关政策效果分析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产业数字化发展水平与中小银行经营风险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绿色产业政策对中小企业经营风险的结构性影响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共同富裕背景下个人金融行为分析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乡村振兴、财政政策与涉农小微企业债务融资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普惠金融与金融诈骗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Arial" w:hAnsi="Arial" w:eastAsia="仿宋" w:cs="Arial"/>
          <w:sz w:val="28"/>
          <w:szCs w:val="32"/>
        </w:rPr>
      </w:pPr>
      <w:r>
        <w:rPr>
          <w:rFonts w:hint="eastAsia" w:ascii="Arial" w:hAnsi="Arial" w:eastAsia="仿宋" w:cs="Arial"/>
          <w:sz w:val="28"/>
          <w:szCs w:val="32"/>
        </w:rPr>
        <w:t>涉农贷款、农业投入与农业生产率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6546A"/>
    <w:multiLevelType w:val="multilevel"/>
    <w:tmpl w:val="6956546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E"/>
    <w:rsid w:val="00121AED"/>
    <w:rsid w:val="002344B2"/>
    <w:rsid w:val="002F6ECC"/>
    <w:rsid w:val="002F7FD6"/>
    <w:rsid w:val="00333CDE"/>
    <w:rsid w:val="003758CE"/>
    <w:rsid w:val="004519CB"/>
    <w:rsid w:val="0048063E"/>
    <w:rsid w:val="004E3C0D"/>
    <w:rsid w:val="005D2308"/>
    <w:rsid w:val="005E607D"/>
    <w:rsid w:val="00603D13"/>
    <w:rsid w:val="006D72EC"/>
    <w:rsid w:val="007443FB"/>
    <w:rsid w:val="007D6A32"/>
    <w:rsid w:val="00974418"/>
    <w:rsid w:val="00A32C28"/>
    <w:rsid w:val="00A54C81"/>
    <w:rsid w:val="00A67638"/>
    <w:rsid w:val="00BC3365"/>
    <w:rsid w:val="00C37EB6"/>
    <w:rsid w:val="00CF3785"/>
    <w:rsid w:val="00D20DF9"/>
    <w:rsid w:val="00D6014B"/>
    <w:rsid w:val="00F14669"/>
    <w:rsid w:val="00FD2881"/>
    <w:rsid w:val="295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252</TotalTime>
  <ScaleCrop>false</ScaleCrop>
  <LinksUpToDate>false</LinksUpToDate>
  <CharactersWithSpaces>193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2021-06-10T02:05:00Z</dcterms:created>
  <dc:creator>Ruolin Wang</dc:creator>
  <cp:lastModifiedBy>zjsutfs</cp:lastModifiedBy>
  <dcterms:modified xsi:type="dcterms:W3CDTF">2021-06-18T01:45:07Z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7D4C74D2C95244A699B0AA78EEC0CB75</vt:lpwstr>
  </property>
</Properties>
</file>